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26" w:rsidRDefault="00C82BA1" w:rsidP="00121E26">
      <w:pPr>
        <w:spacing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cs="Times New Roman"/>
          <w:b/>
          <w:sz w:val="20"/>
          <w:szCs w:val="20"/>
          <w:u w:val="single"/>
        </w:rPr>
        <w:t>Übersetzung des Beispielbriefs</w:t>
      </w:r>
    </w:p>
    <w:p w:rsidR="00C82BA1" w:rsidRDefault="00C82BA1" w:rsidP="00121E26">
      <w:pPr>
        <w:spacing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C82BA1" w:rsidRPr="00C82BA1" w:rsidRDefault="00C82BA1" w:rsidP="00121E26">
      <w:pPr>
        <w:spacing w:after="0" w:line="36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121E26" w:rsidRPr="00C82BA1" w:rsidRDefault="00121E26" w:rsidP="00121E26">
      <w:pPr>
        <w:spacing w:after="0" w:line="360" w:lineRule="auto"/>
        <w:jc w:val="center"/>
        <w:rPr>
          <w:rFonts w:cs="Times New Roman"/>
          <w:b/>
          <w:i/>
          <w:sz w:val="20"/>
          <w:szCs w:val="20"/>
        </w:rPr>
      </w:pPr>
      <w:r w:rsidRPr="00C82BA1">
        <w:rPr>
          <w:rFonts w:cs="Times New Roman"/>
          <w:b/>
          <w:i/>
          <w:sz w:val="20"/>
          <w:szCs w:val="20"/>
        </w:rPr>
        <w:t>Eilaktion</w:t>
      </w:r>
    </w:p>
    <w:p w:rsidR="00121E26" w:rsidRPr="00C82BA1" w:rsidRDefault="00121E26" w:rsidP="00121E26">
      <w:pPr>
        <w:spacing w:after="0" w:line="360" w:lineRule="auto"/>
        <w:jc w:val="center"/>
        <w:rPr>
          <w:rFonts w:cs="Times New Roman"/>
          <w:b/>
          <w:i/>
          <w:sz w:val="20"/>
          <w:szCs w:val="20"/>
        </w:rPr>
      </w:pPr>
      <w:r w:rsidRPr="00C82BA1">
        <w:rPr>
          <w:rFonts w:cs="Times New Roman"/>
          <w:b/>
          <w:i/>
          <w:sz w:val="20"/>
          <w:szCs w:val="20"/>
        </w:rPr>
        <w:t xml:space="preserve">Situation der Guarani und der </w:t>
      </w:r>
      <w:proofErr w:type="spellStart"/>
      <w:r w:rsidRPr="00C82BA1">
        <w:rPr>
          <w:rFonts w:cs="Times New Roman"/>
          <w:b/>
          <w:i/>
          <w:sz w:val="20"/>
          <w:szCs w:val="20"/>
        </w:rPr>
        <w:t>Kaiowá</w:t>
      </w:r>
      <w:proofErr w:type="spellEnd"/>
      <w:r w:rsidRPr="00C82BA1">
        <w:rPr>
          <w:rFonts w:cs="Times New Roman"/>
          <w:b/>
          <w:i/>
          <w:sz w:val="20"/>
          <w:szCs w:val="20"/>
        </w:rPr>
        <w:t xml:space="preserve"> in Mato Grosso do Sul, Brasilien / </w:t>
      </w:r>
      <w:proofErr w:type="spellStart"/>
      <w:r w:rsidRPr="00C82BA1">
        <w:rPr>
          <w:rFonts w:cs="Times New Roman"/>
          <w:b/>
          <w:i/>
          <w:sz w:val="20"/>
          <w:szCs w:val="20"/>
        </w:rPr>
        <w:t>Taquara</w:t>
      </w:r>
      <w:proofErr w:type="spellEnd"/>
      <w:r w:rsidRPr="00C82BA1">
        <w:rPr>
          <w:rFonts w:cs="Times New Roman"/>
          <w:b/>
          <w:i/>
          <w:sz w:val="20"/>
          <w:szCs w:val="20"/>
        </w:rPr>
        <w:t xml:space="preserve"> Gemeinde</w:t>
      </w:r>
    </w:p>
    <w:p w:rsidR="00121E26" w:rsidRPr="00C82BA1" w:rsidRDefault="00121E26" w:rsidP="00121E26">
      <w:pPr>
        <w:spacing w:after="0" w:line="360" w:lineRule="auto"/>
        <w:jc w:val="center"/>
        <w:rPr>
          <w:rFonts w:cs="Times New Roman"/>
          <w:i/>
          <w:sz w:val="20"/>
          <w:szCs w:val="20"/>
        </w:rPr>
      </w:pPr>
    </w:p>
    <w:p w:rsidR="00121E26" w:rsidRPr="00C82BA1" w:rsidRDefault="00121E26" w:rsidP="00121E26">
      <w:pPr>
        <w:spacing w:after="0" w:line="360" w:lineRule="auto"/>
        <w:jc w:val="right"/>
        <w:rPr>
          <w:rFonts w:cs="Times New Roman"/>
          <w:i/>
          <w:sz w:val="20"/>
          <w:szCs w:val="20"/>
        </w:rPr>
      </w:pPr>
      <w:r w:rsidRPr="00C82BA1">
        <w:rPr>
          <w:rFonts w:cs="Times New Roman"/>
          <w:i/>
          <w:sz w:val="20"/>
          <w:szCs w:val="20"/>
        </w:rPr>
        <w:t>Februar 2016</w:t>
      </w:r>
    </w:p>
    <w:p w:rsidR="00121E26" w:rsidRPr="00C82BA1" w:rsidRDefault="00121E26" w:rsidP="00121E26">
      <w:pPr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:rsidR="00121E26" w:rsidRPr="00C82BA1" w:rsidRDefault="00121E26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t>Sehr geehrte Exzellenzen,</w:t>
      </w:r>
    </w:p>
    <w:p w:rsidR="00121E26" w:rsidRPr="00C82BA1" w:rsidRDefault="00121E26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21E26" w:rsidRPr="00C82BA1" w:rsidRDefault="00121E26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t xml:space="preserve">Am 25. Januar 2016 erhielt die Guarani- und </w:t>
      </w:r>
      <w:proofErr w:type="spellStart"/>
      <w:r w:rsidRPr="00C82BA1">
        <w:rPr>
          <w:rFonts w:cs="Times New Roman"/>
          <w:sz w:val="20"/>
          <w:szCs w:val="20"/>
        </w:rPr>
        <w:t>Kaiowá</w:t>
      </w:r>
      <w:proofErr w:type="spellEnd"/>
      <w:r w:rsidRPr="00C82BA1">
        <w:rPr>
          <w:rFonts w:cs="Times New Roman"/>
          <w:sz w:val="20"/>
          <w:szCs w:val="20"/>
        </w:rPr>
        <w:t xml:space="preserve">-Gemeinde </w:t>
      </w:r>
      <w:proofErr w:type="spellStart"/>
      <w:r w:rsidRPr="00C82BA1">
        <w:rPr>
          <w:rFonts w:cs="Times New Roman"/>
          <w:sz w:val="20"/>
          <w:szCs w:val="20"/>
        </w:rPr>
        <w:t>Takwara</w:t>
      </w:r>
      <w:proofErr w:type="spellEnd"/>
      <w:r w:rsidRPr="00C82BA1">
        <w:rPr>
          <w:rFonts w:cs="Times New Roman"/>
          <w:sz w:val="20"/>
          <w:szCs w:val="20"/>
        </w:rPr>
        <w:t xml:space="preserve">, die sich im Bezirk </w:t>
      </w:r>
      <w:proofErr w:type="spellStart"/>
      <w:r w:rsidRPr="00C82BA1">
        <w:rPr>
          <w:rFonts w:cs="Times New Roman"/>
          <w:sz w:val="20"/>
          <w:szCs w:val="20"/>
        </w:rPr>
        <w:t>Juti</w:t>
      </w:r>
      <w:proofErr w:type="spellEnd"/>
      <w:r w:rsidRPr="00C82BA1">
        <w:rPr>
          <w:rFonts w:cs="Times New Roman"/>
          <w:sz w:val="20"/>
          <w:szCs w:val="20"/>
        </w:rPr>
        <w:t xml:space="preserve">, im Staat Mato Grosso do Sul befindet, eine gerichtliche Anordnung vom Bezirksgericht von </w:t>
      </w:r>
      <w:proofErr w:type="spellStart"/>
      <w:r w:rsidRPr="00C82BA1">
        <w:rPr>
          <w:rFonts w:cs="Times New Roman"/>
          <w:sz w:val="20"/>
          <w:szCs w:val="20"/>
        </w:rPr>
        <w:t>Naviraí</w:t>
      </w:r>
      <w:proofErr w:type="spellEnd"/>
      <w:r w:rsidRPr="00C82BA1">
        <w:rPr>
          <w:rFonts w:cs="Times New Roman"/>
          <w:sz w:val="20"/>
          <w:szCs w:val="20"/>
        </w:rPr>
        <w:t xml:space="preserve">, das die Mitglieder der Gemeinde aufforderte, das von ihnen am 13. Januar 2016 besetzte Land wieder zu verlassen. Die </w:t>
      </w:r>
      <w:proofErr w:type="spellStart"/>
      <w:r w:rsidRPr="00C82BA1">
        <w:rPr>
          <w:rFonts w:cs="Times New Roman"/>
          <w:sz w:val="20"/>
          <w:szCs w:val="20"/>
        </w:rPr>
        <w:t>Takwara</w:t>
      </w:r>
      <w:proofErr w:type="spellEnd"/>
      <w:r w:rsidRPr="00C82BA1">
        <w:rPr>
          <w:rFonts w:cs="Times New Roman"/>
          <w:sz w:val="20"/>
          <w:szCs w:val="20"/>
        </w:rPr>
        <w:t xml:space="preserve"> Gemeinde besteht aus ca. 600 Mitgliedern.</w:t>
      </w:r>
    </w:p>
    <w:p w:rsidR="00121E26" w:rsidRPr="00C82BA1" w:rsidRDefault="00121E26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121E26" w:rsidRPr="00C82BA1" w:rsidRDefault="00121E26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t xml:space="preserve">Kurz nach der Besetzung des Landes Mitte Januar wurde die </w:t>
      </w:r>
      <w:proofErr w:type="spellStart"/>
      <w:r w:rsidRPr="00C82BA1">
        <w:rPr>
          <w:rFonts w:cs="Times New Roman"/>
          <w:sz w:val="20"/>
          <w:szCs w:val="20"/>
        </w:rPr>
        <w:t>Takwara</w:t>
      </w:r>
      <w:proofErr w:type="spellEnd"/>
      <w:r w:rsidRPr="00C82BA1">
        <w:rPr>
          <w:rFonts w:cs="Times New Roman"/>
          <w:sz w:val="20"/>
          <w:szCs w:val="20"/>
        </w:rPr>
        <w:t xml:space="preserve"> Gemeinde von bewaffneten Menschen angegriffen. </w:t>
      </w:r>
      <w:r w:rsidR="00597967" w:rsidRPr="00C82BA1">
        <w:rPr>
          <w:rFonts w:cs="Times New Roman"/>
          <w:sz w:val="20"/>
          <w:szCs w:val="20"/>
        </w:rPr>
        <w:t>Wir haben</w:t>
      </w:r>
      <w:r w:rsidRPr="00C82BA1">
        <w:rPr>
          <w:rFonts w:cs="Times New Roman"/>
          <w:sz w:val="20"/>
          <w:szCs w:val="20"/>
        </w:rPr>
        <w:t xml:space="preserve"> weitere alarmierende N</w:t>
      </w:r>
      <w:r w:rsidR="00D50CA7" w:rsidRPr="00C82BA1">
        <w:rPr>
          <w:rFonts w:cs="Times New Roman"/>
          <w:sz w:val="20"/>
          <w:szCs w:val="20"/>
        </w:rPr>
        <w:t>achrich</w:t>
      </w:r>
      <w:r w:rsidRPr="00C82BA1">
        <w:rPr>
          <w:rFonts w:cs="Times New Roman"/>
          <w:sz w:val="20"/>
          <w:szCs w:val="20"/>
        </w:rPr>
        <w:t xml:space="preserve">ten </w:t>
      </w:r>
      <w:r w:rsidR="00D50CA7" w:rsidRPr="00C82BA1">
        <w:rPr>
          <w:rFonts w:cs="Times New Roman"/>
          <w:sz w:val="20"/>
          <w:szCs w:val="20"/>
        </w:rPr>
        <w:t xml:space="preserve">erhalten </w:t>
      </w:r>
      <w:r w:rsidRPr="00C82BA1">
        <w:rPr>
          <w:rFonts w:cs="Times New Roman"/>
          <w:sz w:val="20"/>
          <w:szCs w:val="20"/>
        </w:rPr>
        <w:t>von</w:t>
      </w:r>
      <w:r w:rsidR="00D50CA7" w:rsidRPr="00C82BA1">
        <w:rPr>
          <w:rFonts w:cs="Times New Roman"/>
          <w:sz w:val="20"/>
          <w:szCs w:val="20"/>
        </w:rPr>
        <w:t xml:space="preserve"> mit Schrotflinten bewaffneten Menschen, die von den Guarani-</w:t>
      </w:r>
      <w:proofErr w:type="spellStart"/>
      <w:r w:rsidR="00D50CA7" w:rsidRPr="00C82BA1">
        <w:rPr>
          <w:rFonts w:cs="Times New Roman"/>
          <w:sz w:val="20"/>
          <w:szCs w:val="20"/>
        </w:rPr>
        <w:t>Kaiowá</w:t>
      </w:r>
      <w:proofErr w:type="spellEnd"/>
      <w:r w:rsidR="00D50CA7" w:rsidRPr="00C82BA1">
        <w:rPr>
          <w:rFonts w:cs="Times New Roman"/>
          <w:sz w:val="20"/>
          <w:szCs w:val="20"/>
        </w:rPr>
        <w:t xml:space="preserve"> bewohnte Camps angegriffen haben. Die Mitglieder der </w:t>
      </w:r>
      <w:proofErr w:type="spellStart"/>
      <w:r w:rsidR="00D50CA7" w:rsidRPr="00C82BA1">
        <w:rPr>
          <w:rFonts w:cs="Times New Roman"/>
          <w:sz w:val="20"/>
          <w:szCs w:val="20"/>
        </w:rPr>
        <w:t>Takwara</w:t>
      </w:r>
      <w:proofErr w:type="spellEnd"/>
      <w:r w:rsidR="00D50CA7" w:rsidRPr="00C82BA1">
        <w:rPr>
          <w:rFonts w:cs="Times New Roman"/>
          <w:sz w:val="20"/>
          <w:szCs w:val="20"/>
        </w:rPr>
        <w:t xml:space="preserve"> Gemeinde mussten in den Wäldern Schutz suchen.</w:t>
      </w:r>
    </w:p>
    <w:p w:rsidR="00D50CA7" w:rsidRPr="00C82BA1" w:rsidRDefault="00D50CA7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50CA7" w:rsidRPr="00C82BA1" w:rsidRDefault="00D50CA7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t xml:space="preserve">Laut der brasilianischen </w:t>
      </w:r>
      <w:r w:rsidR="00597967" w:rsidRPr="00C82BA1">
        <w:rPr>
          <w:rFonts w:cs="Times New Roman"/>
          <w:sz w:val="20"/>
          <w:szCs w:val="20"/>
        </w:rPr>
        <w:t>Verfassung</w:t>
      </w:r>
      <w:r w:rsidRPr="00C82BA1">
        <w:rPr>
          <w:rFonts w:cs="Times New Roman"/>
          <w:sz w:val="20"/>
          <w:szCs w:val="20"/>
        </w:rPr>
        <w:t xml:space="preserve"> besitzen die indigenen Völker bereits das Recht auf ihr Land.</w:t>
      </w:r>
      <w:r w:rsidR="00CF1B8A" w:rsidRPr="00C82BA1">
        <w:rPr>
          <w:rFonts w:cs="Times New Roman"/>
          <w:sz w:val="20"/>
          <w:szCs w:val="20"/>
        </w:rPr>
        <w:t xml:space="preserve"> Bezüglich der administrativen Prozesse zur Regulierung durch die brasilianischen Behörden in Bezug auf die Anerkennung und folgende Regulierung von indigenen Landflächen, befindet sich die </w:t>
      </w:r>
      <w:proofErr w:type="spellStart"/>
      <w:r w:rsidR="00CF1B8A" w:rsidRPr="00C82BA1">
        <w:rPr>
          <w:rFonts w:cs="Times New Roman"/>
          <w:sz w:val="20"/>
          <w:szCs w:val="20"/>
        </w:rPr>
        <w:t>Takwara</w:t>
      </w:r>
      <w:proofErr w:type="spellEnd"/>
      <w:r w:rsidR="00CF1B8A" w:rsidRPr="00C82BA1">
        <w:rPr>
          <w:rFonts w:cs="Times New Roman"/>
          <w:sz w:val="20"/>
          <w:szCs w:val="20"/>
        </w:rPr>
        <w:t xml:space="preserve"> Gemeinde in Phase zwei von vier. Dies bedeutet, dass das Territorium bereits vom Justizminister anerkannt wurde.</w:t>
      </w:r>
    </w:p>
    <w:p w:rsidR="00CF1B8A" w:rsidRPr="00C82BA1" w:rsidRDefault="00CF1B8A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CF1B8A" w:rsidRPr="00C82BA1" w:rsidRDefault="00CF1B8A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t xml:space="preserve">Die besetzte Fläche beläuft sich auf etwa 9.700 Hektar und ist, dies ist von größter Wichtigkeit, </w:t>
      </w:r>
      <w:r w:rsidRPr="00C82BA1">
        <w:rPr>
          <w:rFonts w:cs="Times New Roman"/>
          <w:i/>
          <w:sz w:val="20"/>
          <w:szCs w:val="20"/>
        </w:rPr>
        <w:t>ein ursprünglich besetztes Land</w:t>
      </w:r>
      <w:r w:rsidRPr="00C82BA1">
        <w:rPr>
          <w:rFonts w:cs="Times New Roman"/>
          <w:sz w:val="20"/>
          <w:szCs w:val="20"/>
        </w:rPr>
        <w:t>, dies bedeutet, dass das Land auf den sich die Gemeinde befindet angestammt besetzt wurde.</w:t>
      </w:r>
      <w:r w:rsidR="00652954" w:rsidRPr="00C82BA1">
        <w:rPr>
          <w:rFonts w:cs="Times New Roman"/>
          <w:sz w:val="20"/>
          <w:szCs w:val="20"/>
        </w:rPr>
        <w:t xml:space="preserve"> Die Guarani und </w:t>
      </w:r>
      <w:proofErr w:type="spellStart"/>
      <w:r w:rsidR="00652954" w:rsidRPr="00C82BA1">
        <w:rPr>
          <w:rFonts w:cs="Times New Roman"/>
          <w:sz w:val="20"/>
          <w:szCs w:val="20"/>
        </w:rPr>
        <w:t>Kaiowá</w:t>
      </w:r>
      <w:proofErr w:type="spellEnd"/>
      <w:r w:rsidR="00652954" w:rsidRPr="00C82BA1">
        <w:rPr>
          <w:rFonts w:cs="Times New Roman"/>
          <w:sz w:val="20"/>
          <w:szCs w:val="20"/>
        </w:rPr>
        <w:t xml:space="preserve">, die heutzutage in der </w:t>
      </w:r>
      <w:proofErr w:type="spellStart"/>
      <w:r w:rsidR="00652954" w:rsidRPr="00C82BA1">
        <w:rPr>
          <w:rFonts w:cs="Times New Roman"/>
          <w:sz w:val="20"/>
          <w:szCs w:val="20"/>
        </w:rPr>
        <w:t>Takwara</w:t>
      </w:r>
      <w:proofErr w:type="spellEnd"/>
      <w:r w:rsidR="00652954" w:rsidRPr="00C82BA1">
        <w:rPr>
          <w:rFonts w:cs="Times New Roman"/>
          <w:sz w:val="20"/>
          <w:szCs w:val="20"/>
        </w:rPr>
        <w:t xml:space="preserve"> Gemeinde leben, hatten zuvor für zehn Jahre auf einer Fläche von 300 Hektar gelebt. Am 13. Januar 2016 besetzten sie das </w:t>
      </w:r>
      <w:proofErr w:type="spellStart"/>
      <w:r w:rsidR="00652954" w:rsidRPr="00C82BA1">
        <w:rPr>
          <w:rFonts w:cs="Times New Roman"/>
          <w:sz w:val="20"/>
          <w:szCs w:val="20"/>
        </w:rPr>
        <w:t>Takwara</w:t>
      </w:r>
      <w:proofErr w:type="spellEnd"/>
      <w:r w:rsidR="00652954" w:rsidRPr="00C82BA1">
        <w:rPr>
          <w:rFonts w:cs="Times New Roman"/>
          <w:sz w:val="20"/>
          <w:szCs w:val="20"/>
        </w:rPr>
        <w:t xml:space="preserve"> Gebiet, da es ursprünglich von ihnen besetzt war („</w:t>
      </w:r>
      <w:proofErr w:type="spellStart"/>
      <w:r w:rsidR="00652954" w:rsidRPr="00C82BA1">
        <w:rPr>
          <w:rFonts w:cs="Times New Roman"/>
          <w:sz w:val="20"/>
          <w:szCs w:val="20"/>
        </w:rPr>
        <w:t>área</w:t>
      </w:r>
      <w:proofErr w:type="spellEnd"/>
      <w:r w:rsidR="00652954" w:rsidRPr="00C82BA1">
        <w:rPr>
          <w:rFonts w:cs="Times New Roman"/>
          <w:sz w:val="20"/>
          <w:szCs w:val="20"/>
        </w:rPr>
        <w:t xml:space="preserve"> </w:t>
      </w:r>
      <w:proofErr w:type="spellStart"/>
      <w:r w:rsidR="00652954" w:rsidRPr="00C82BA1">
        <w:rPr>
          <w:rFonts w:cs="Times New Roman"/>
          <w:sz w:val="20"/>
          <w:szCs w:val="20"/>
        </w:rPr>
        <w:t>declarada</w:t>
      </w:r>
      <w:proofErr w:type="spellEnd"/>
      <w:r w:rsidR="00652954" w:rsidRPr="00C82BA1">
        <w:rPr>
          <w:rFonts w:cs="Times New Roman"/>
          <w:sz w:val="20"/>
          <w:szCs w:val="20"/>
        </w:rPr>
        <w:t>“).</w:t>
      </w:r>
    </w:p>
    <w:p w:rsidR="00652954" w:rsidRPr="00C82BA1" w:rsidRDefault="00652954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652954" w:rsidRPr="00C82BA1" w:rsidRDefault="00652954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t>Als Reaktion auf diese Wiederbes</w:t>
      </w:r>
      <w:r w:rsidR="00D41BD8" w:rsidRPr="00C82BA1">
        <w:rPr>
          <w:rFonts w:cs="Times New Roman"/>
          <w:sz w:val="20"/>
          <w:szCs w:val="20"/>
        </w:rPr>
        <w:t>e</w:t>
      </w:r>
      <w:r w:rsidRPr="00C82BA1">
        <w:rPr>
          <w:rFonts w:cs="Times New Roman"/>
          <w:sz w:val="20"/>
          <w:szCs w:val="20"/>
        </w:rPr>
        <w:t xml:space="preserve">tzung des Landes </w:t>
      </w:r>
      <w:r w:rsidR="00D41BD8" w:rsidRPr="00C82BA1">
        <w:rPr>
          <w:rFonts w:cs="Times New Roman"/>
          <w:sz w:val="20"/>
          <w:szCs w:val="20"/>
        </w:rPr>
        <w:t xml:space="preserve">ergriffen industrielle Bauern der Region Maßnahmen gegen die Guarani und </w:t>
      </w:r>
      <w:proofErr w:type="spellStart"/>
      <w:r w:rsidR="00D41BD8" w:rsidRPr="00C82BA1">
        <w:rPr>
          <w:rFonts w:cs="Times New Roman"/>
          <w:sz w:val="20"/>
          <w:szCs w:val="20"/>
        </w:rPr>
        <w:t>Kaiowá</w:t>
      </w:r>
      <w:proofErr w:type="spellEnd"/>
      <w:r w:rsidR="00D41BD8" w:rsidRPr="00C82BA1">
        <w:rPr>
          <w:rFonts w:cs="Times New Roman"/>
          <w:sz w:val="20"/>
          <w:szCs w:val="20"/>
        </w:rPr>
        <w:t xml:space="preserve">. Am 25. Januar 2016 orderte ein Bundesrichter von </w:t>
      </w:r>
      <w:proofErr w:type="spellStart"/>
      <w:r w:rsidR="00D41BD8" w:rsidRPr="00C82BA1">
        <w:rPr>
          <w:rFonts w:cs="Times New Roman"/>
          <w:sz w:val="20"/>
          <w:szCs w:val="20"/>
        </w:rPr>
        <w:t>Naviraí</w:t>
      </w:r>
      <w:proofErr w:type="spellEnd"/>
      <w:r w:rsidR="00D41BD8" w:rsidRPr="00C82BA1">
        <w:rPr>
          <w:rFonts w:cs="Times New Roman"/>
          <w:sz w:val="20"/>
          <w:szCs w:val="20"/>
        </w:rPr>
        <w:t xml:space="preserve">, Mato Grosso do Sul die Vertreibung vom Gebiet innerhalb von 15 Tagen. Daher ist die erwartete Deadline für diese Vertreibung der 8. Februar 2016. </w:t>
      </w:r>
      <w:proofErr w:type="gramStart"/>
      <w:r w:rsidR="00D41BD8" w:rsidRPr="00C82BA1">
        <w:rPr>
          <w:rFonts w:cs="Times New Roman"/>
          <w:sz w:val="20"/>
          <w:szCs w:val="20"/>
        </w:rPr>
        <w:t>Dieses</w:t>
      </w:r>
      <w:proofErr w:type="gramEnd"/>
      <w:r w:rsidR="00597967" w:rsidRPr="00C82BA1">
        <w:rPr>
          <w:rFonts w:cs="Times New Roman"/>
          <w:sz w:val="20"/>
          <w:szCs w:val="20"/>
        </w:rPr>
        <w:t xml:space="preserve"> gerichtliche Vertreibungsanordnung</w:t>
      </w:r>
      <w:r w:rsidR="00D41BD8" w:rsidRPr="00C82BA1">
        <w:rPr>
          <w:rFonts w:cs="Times New Roman"/>
          <w:sz w:val="20"/>
          <w:szCs w:val="20"/>
        </w:rPr>
        <w:t xml:space="preserve"> ist ein Verstoß gegen die konstitutionellen Rechte der </w:t>
      </w:r>
      <w:proofErr w:type="spellStart"/>
      <w:r w:rsidR="00D41BD8" w:rsidRPr="00C82BA1">
        <w:rPr>
          <w:rFonts w:cs="Times New Roman"/>
          <w:sz w:val="20"/>
          <w:szCs w:val="20"/>
        </w:rPr>
        <w:t>Takwara</w:t>
      </w:r>
      <w:proofErr w:type="spellEnd"/>
      <w:r w:rsidR="00D41BD8" w:rsidRPr="00C82BA1">
        <w:rPr>
          <w:rFonts w:cs="Times New Roman"/>
          <w:sz w:val="20"/>
          <w:szCs w:val="20"/>
        </w:rPr>
        <w:t xml:space="preserve"> Gemeinde, da sich das betroffene Gebiet in einem legalen und administrativen Prozess der Regulierung befindet.</w:t>
      </w:r>
    </w:p>
    <w:p w:rsidR="00D41BD8" w:rsidRPr="00C82BA1" w:rsidRDefault="00D41BD8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41BD8" w:rsidRPr="00C82BA1" w:rsidRDefault="00D41BD8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lastRenderedPageBreak/>
        <w:t xml:space="preserve">Der Gerichtsprozess, zusammen mit einem weiteren Prozess von einer alten Rückforderungsbewegung mit denselben Beteiligten, wurde im Obersten Gerichtshof (STF) verhandelt. Die Ministerin </w:t>
      </w:r>
      <w:proofErr w:type="spellStart"/>
      <w:r w:rsidRPr="00C82BA1">
        <w:rPr>
          <w:rFonts w:cs="Times New Roman"/>
          <w:sz w:val="20"/>
          <w:szCs w:val="20"/>
        </w:rPr>
        <w:t>Cármen</w:t>
      </w:r>
      <w:proofErr w:type="spellEnd"/>
      <w:r w:rsidRPr="00C82BA1">
        <w:rPr>
          <w:rFonts w:cs="Times New Roman"/>
          <w:sz w:val="20"/>
          <w:szCs w:val="20"/>
        </w:rPr>
        <w:t xml:space="preserve"> </w:t>
      </w:r>
      <w:proofErr w:type="spellStart"/>
      <w:r w:rsidRPr="00C82BA1">
        <w:rPr>
          <w:rFonts w:cs="Times New Roman"/>
          <w:sz w:val="20"/>
          <w:szCs w:val="20"/>
        </w:rPr>
        <w:t>Lúcia</w:t>
      </w:r>
      <w:proofErr w:type="spellEnd"/>
      <w:r w:rsidRPr="00C82BA1">
        <w:rPr>
          <w:rFonts w:cs="Times New Roman"/>
          <w:sz w:val="20"/>
          <w:szCs w:val="20"/>
        </w:rPr>
        <w:t xml:space="preserve"> bestätigte die Entscheidung vom Justizminister, sie forderte allerdings auch eine Anschauung von den anthropologischen Studien der Gemeinde, was eine</w:t>
      </w:r>
      <w:r w:rsidR="00472A85" w:rsidRPr="00C82BA1">
        <w:rPr>
          <w:rFonts w:cs="Times New Roman"/>
          <w:sz w:val="20"/>
          <w:szCs w:val="20"/>
        </w:rPr>
        <w:t xml:space="preserve"> weitere Verzögerung des Prozesses bedeutet.</w:t>
      </w:r>
    </w:p>
    <w:p w:rsidR="00472A85" w:rsidRPr="00C82BA1" w:rsidRDefault="00472A85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472A85" w:rsidRPr="00C82BA1" w:rsidRDefault="00472A85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C82BA1">
        <w:rPr>
          <w:rFonts w:cs="Times New Roman"/>
          <w:sz w:val="20"/>
          <w:szCs w:val="20"/>
        </w:rPr>
        <w:t xml:space="preserve">Zuletzt kritisieren die Guarani und </w:t>
      </w:r>
      <w:proofErr w:type="spellStart"/>
      <w:r w:rsidRPr="00C82BA1">
        <w:rPr>
          <w:rFonts w:cs="Times New Roman"/>
          <w:sz w:val="20"/>
          <w:szCs w:val="20"/>
        </w:rPr>
        <w:t>Kaiowá</w:t>
      </w:r>
      <w:proofErr w:type="spellEnd"/>
      <w:r w:rsidRPr="00C82BA1">
        <w:rPr>
          <w:rFonts w:cs="Times New Roman"/>
          <w:sz w:val="20"/>
          <w:szCs w:val="20"/>
        </w:rPr>
        <w:t xml:space="preserve"> der </w:t>
      </w:r>
      <w:proofErr w:type="spellStart"/>
      <w:r w:rsidRPr="00C82BA1">
        <w:rPr>
          <w:rFonts w:cs="Times New Roman"/>
          <w:sz w:val="20"/>
          <w:szCs w:val="20"/>
        </w:rPr>
        <w:t>Takwara</w:t>
      </w:r>
      <w:proofErr w:type="spellEnd"/>
      <w:r w:rsidRPr="00C82BA1">
        <w:rPr>
          <w:rFonts w:cs="Times New Roman"/>
          <w:sz w:val="20"/>
          <w:szCs w:val="20"/>
        </w:rPr>
        <w:t xml:space="preserve"> Gemeinde, dass FUNAI (Nationale Stiftung der Indigenen) sie nicht ausreichend bei diesen spezifischen juristischen und politischen Schritten unterstützt.</w:t>
      </w:r>
    </w:p>
    <w:p w:rsidR="007F7805" w:rsidRPr="00C82BA1" w:rsidRDefault="007F7805" w:rsidP="00121E26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F7805" w:rsidRPr="00C82BA1" w:rsidRDefault="007F7805" w:rsidP="00121E26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>Aus diesen Gründen fordern die Unter</w:t>
      </w:r>
      <w:r w:rsidR="00993F28" w:rsidRPr="00C82BA1">
        <w:rPr>
          <w:rFonts w:cs="Times New Roman"/>
          <w:b/>
          <w:sz w:val="20"/>
          <w:szCs w:val="20"/>
        </w:rPr>
        <w:t>zeichnenden</w:t>
      </w:r>
      <w:r w:rsidRPr="00C82BA1">
        <w:rPr>
          <w:rFonts w:cs="Times New Roman"/>
          <w:b/>
          <w:sz w:val="20"/>
          <w:szCs w:val="20"/>
        </w:rPr>
        <w:t>:</w:t>
      </w:r>
    </w:p>
    <w:p w:rsidR="007F7805" w:rsidRPr="00C82BA1" w:rsidRDefault="007F7805" w:rsidP="00121E26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7F7805" w:rsidRPr="00C82BA1" w:rsidRDefault="007F7805" w:rsidP="007F78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 xml:space="preserve">Dass die brasilianische Regierung die </w:t>
      </w:r>
      <w:proofErr w:type="spellStart"/>
      <w:r w:rsidRPr="00C82BA1">
        <w:rPr>
          <w:rFonts w:cs="Times New Roman"/>
          <w:b/>
          <w:sz w:val="20"/>
          <w:szCs w:val="20"/>
        </w:rPr>
        <w:t>Takwara</w:t>
      </w:r>
      <w:proofErr w:type="spellEnd"/>
      <w:r w:rsidRPr="00C82BA1">
        <w:rPr>
          <w:rFonts w:cs="Times New Roman"/>
          <w:b/>
          <w:sz w:val="20"/>
          <w:szCs w:val="20"/>
        </w:rPr>
        <w:t xml:space="preserve"> Gemeinde gegen alle Formen von Gewalt schützt und ihr Recht auf das Land, dass si</w:t>
      </w:r>
      <w:r w:rsidR="00436739" w:rsidRPr="00C82BA1">
        <w:rPr>
          <w:rFonts w:cs="Times New Roman"/>
          <w:b/>
          <w:sz w:val="20"/>
          <w:szCs w:val="20"/>
        </w:rPr>
        <w:t>e derzeit besetzen, respektiert, schützt und gewährleistet</w:t>
      </w:r>
      <w:r w:rsidRPr="00C82BA1">
        <w:rPr>
          <w:rFonts w:cs="Times New Roman"/>
          <w:b/>
          <w:sz w:val="20"/>
          <w:szCs w:val="20"/>
        </w:rPr>
        <w:t xml:space="preserve">, sowie alle anderen </w:t>
      </w:r>
      <w:r w:rsidR="00436739" w:rsidRPr="00C82BA1">
        <w:rPr>
          <w:rFonts w:cs="Times New Roman"/>
          <w:b/>
          <w:sz w:val="20"/>
          <w:szCs w:val="20"/>
        </w:rPr>
        <w:t>grundlegenden</w:t>
      </w:r>
      <w:r w:rsidRPr="00C82BA1">
        <w:rPr>
          <w:rFonts w:cs="Times New Roman"/>
          <w:b/>
          <w:sz w:val="20"/>
          <w:szCs w:val="20"/>
        </w:rPr>
        <w:t xml:space="preserve"> Rechte.</w:t>
      </w:r>
    </w:p>
    <w:p w:rsidR="007F7805" w:rsidRPr="00C82BA1" w:rsidRDefault="007F7805" w:rsidP="007F780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7F7805" w:rsidRPr="00C82BA1" w:rsidRDefault="007F7805" w:rsidP="007F780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 xml:space="preserve">Außerdem fordern die </w:t>
      </w:r>
      <w:r w:rsidR="00993F28" w:rsidRPr="00C82BA1">
        <w:rPr>
          <w:rFonts w:cs="Times New Roman"/>
          <w:b/>
          <w:sz w:val="20"/>
          <w:szCs w:val="20"/>
        </w:rPr>
        <w:t>Unterzeichnenden</w:t>
      </w:r>
      <w:r w:rsidRPr="00C82BA1">
        <w:rPr>
          <w:rFonts w:cs="Times New Roman"/>
          <w:b/>
          <w:sz w:val="20"/>
          <w:szCs w:val="20"/>
        </w:rPr>
        <w:t>:</w:t>
      </w:r>
    </w:p>
    <w:p w:rsidR="007F7805" w:rsidRPr="00C82BA1" w:rsidRDefault="007F7805" w:rsidP="007F7805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7F7805" w:rsidRPr="00C82BA1" w:rsidRDefault="007F7805" w:rsidP="007F78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>Dass die brasilianische Regierung das Land der Guarani-</w:t>
      </w:r>
      <w:proofErr w:type="spellStart"/>
      <w:r w:rsidRPr="00C82BA1">
        <w:rPr>
          <w:rFonts w:cs="Times New Roman"/>
          <w:b/>
          <w:sz w:val="20"/>
          <w:szCs w:val="20"/>
        </w:rPr>
        <w:t>Kaiowá</w:t>
      </w:r>
      <w:proofErr w:type="spellEnd"/>
      <w:r w:rsidRPr="00C82BA1">
        <w:rPr>
          <w:rFonts w:cs="Times New Roman"/>
          <w:b/>
          <w:sz w:val="20"/>
          <w:szCs w:val="20"/>
        </w:rPr>
        <w:t xml:space="preserve"> demarkiert und strukturelle Mechanismen etabliert, um die humanitäre Krise zu überwinden, von der die indigenen Menschen in Mato Grosso do Sul seit Jahrzehnten betroffen sind.</w:t>
      </w:r>
    </w:p>
    <w:p w:rsidR="007F7805" w:rsidRPr="00C82BA1" w:rsidRDefault="007F7805" w:rsidP="007F78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>Dass die brasilianische Regierung die administrativen Prozesse zur Demarkierung und Zulassungsverfahren für alle Gebiete der Guarani-</w:t>
      </w:r>
      <w:proofErr w:type="spellStart"/>
      <w:r w:rsidRPr="00C82BA1">
        <w:rPr>
          <w:rFonts w:cs="Times New Roman"/>
          <w:b/>
          <w:sz w:val="20"/>
          <w:szCs w:val="20"/>
        </w:rPr>
        <w:t>Kaiowá</w:t>
      </w:r>
      <w:proofErr w:type="spellEnd"/>
      <w:r w:rsidRPr="00C82BA1">
        <w:rPr>
          <w:rFonts w:cs="Times New Roman"/>
          <w:b/>
          <w:sz w:val="20"/>
          <w:szCs w:val="20"/>
        </w:rPr>
        <w:t xml:space="preserve"> </w:t>
      </w:r>
      <w:r w:rsidR="00A9542B" w:rsidRPr="00C82BA1">
        <w:rPr>
          <w:rFonts w:cs="Times New Roman"/>
          <w:b/>
          <w:sz w:val="20"/>
          <w:szCs w:val="20"/>
        </w:rPr>
        <w:t>fortführt.</w:t>
      </w:r>
    </w:p>
    <w:p w:rsidR="00A9542B" w:rsidRPr="00C82BA1" w:rsidRDefault="00A9542B" w:rsidP="007F78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>Dass die bras</w:t>
      </w:r>
      <w:r w:rsidR="00AE403F" w:rsidRPr="00C82BA1">
        <w:rPr>
          <w:rFonts w:cs="Times New Roman"/>
          <w:b/>
          <w:sz w:val="20"/>
          <w:szCs w:val="20"/>
        </w:rPr>
        <w:t>ilianische Regierung die Proposi</w:t>
      </w:r>
      <w:r w:rsidRPr="00C82BA1">
        <w:rPr>
          <w:rFonts w:cs="Times New Roman"/>
          <w:b/>
          <w:sz w:val="20"/>
          <w:szCs w:val="20"/>
        </w:rPr>
        <w:t>tion der Brasilianischen Wahrheitskommission umsetzt, die der brasilianischen Regierung empfiehlt eine Indigenen Wahrheitskommissi</w:t>
      </w:r>
      <w:r w:rsidR="00F14789" w:rsidRPr="00C82BA1">
        <w:rPr>
          <w:rFonts w:cs="Times New Roman"/>
          <w:b/>
          <w:sz w:val="20"/>
          <w:szCs w:val="20"/>
        </w:rPr>
        <w:t>on in Brasilien zu gründen, um Verbrechen gegen die Menschlichkeit und Völkermord an der</w:t>
      </w:r>
      <w:r w:rsidRPr="00C82BA1">
        <w:rPr>
          <w:rFonts w:cs="Times New Roman"/>
          <w:b/>
          <w:sz w:val="20"/>
          <w:szCs w:val="20"/>
        </w:rPr>
        <w:t xml:space="preserve"> indigene Bevölkerung zu untersuchen und Maßnahmen bezüglich </w:t>
      </w:r>
      <w:r w:rsidR="00AE403F" w:rsidRPr="00C82BA1">
        <w:rPr>
          <w:rFonts w:cs="Times New Roman"/>
          <w:b/>
          <w:sz w:val="20"/>
          <w:szCs w:val="20"/>
        </w:rPr>
        <w:t>Übergang, Entschädigung und Nicht-Wiederholung umsetzt.</w:t>
      </w:r>
    </w:p>
    <w:p w:rsidR="00AE403F" w:rsidRPr="00C82BA1" w:rsidRDefault="00AE403F" w:rsidP="007F78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 xml:space="preserve">Dass die brasilianische Regierung das Recht auf Leben und andere fundamentale Rechte der Indigenen </w:t>
      </w:r>
      <w:r w:rsidR="00EA114E" w:rsidRPr="00C82BA1">
        <w:rPr>
          <w:rFonts w:cs="Times New Roman"/>
          <w:b/>
          <w:sz w:val="20"/>
          <w:szCs w:val="20"/>
        </w:rPr>
        <w:t>respektiert, schützt und gewährleistet</w:t>
      </w:r>
      <w:r w:rsidRPr="00C82BA1">
        <w:rPr>
          <w:rFonts w:cs="Times New Roman"/>
          <w:b/>
          <w:sz w:val="20"/>
          <w:szCs w:val="20"/>
        </w:rPr>
        <w:t xml:space="preserve">, z.B. das Recht auf kulturelle Identität, </w:t>
      </w:r>
      <w:r w:rsidR="00EA114E" w:rsidRPr="00C82BA1">
        <w:rPr>
          <w:rFonts w:cs="Times New Roman"/>
          <w:b/>
          <w:sz w:val="20"/>
          <w:szCs w:val="20"/>
        </w:rPr>
        <w:t>angemessene</w:t>
      </w:r>
      <w:r w:rsidRPr="00C82BA1">
        <w:rPr>
          <w:rFonts w:cs="Times New Roman"/>
          <w:b/>
          <w:sz w:val="20"/>
          <w:szCs w:val="20"/>
        </w:rPr>
        <w:t xml:space="preserve"> Nahrung, Wasser und traditionelle Bildung.</w:t>
      </w:r>
    </w:p>
    <w:p w:rsidR="00AE403F" w:rsidRPr="00C82BA1" w:rsidRDefault="00AE403F" w:rsidP="007F78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>Dass der brasilianische Kongress PEC Nr. 215/00 ablehnt.</w:t>
      </w:r>
    </w:p>
    <w:p w:rsidR="00AE403F" w:rsidRPr="00C82BA1" w:rsidRDefault="00AE403F" w:rsidP="007F7805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C82BA1">
        <w:rPr>
          <w:rFonts w:cs="Times New Roman"/>
          <w:b/>
          <w:sz w:val="20"/>
          <w:szCs w:val="20"/>
        </w:rPr>
        <w:t xml:space="preserve">Dass der Oberste Gerichtshof (STF) im Falle von Gerichtsverfahren/ Klagen gegen die Demarkierung von indigenen Territorien </w:t>
      </w:r>
      <w:r w:rsidR="00EA114E" w:rsidRPr="00C82BA1">
        <w:rPr>
          <w:rFonts w:cs="Times New Roman"/>
          <w:b/>
          <w:sz w:val="20"/>
          <w:szCs w:val="20"/>
        </w:rPr>
        <w:t>das „</w:t>
      </w:r>
      <w:proofErr w:type="spellStart"/>
      <w:r w:rsidR="00EA114E" w:rsidRPr="00C82BA1">
        <w:rPr>
          <w:rFonts w:cs="Times New Roman"/>
          <w:b/>
          <w:i/>
          <w:sz w:val="20"/>
          <w:szCs w:val="20"/>
        </w:rPr>
        <w:t>marco</w:t>
      </w:r>
      <w:proofErr w:type="spellEnd"/>
      <w:r w:rsidR="00EA114E" w:rsidRPr="00C82BA1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EA114E" w:rsidRPr="00C82BA1">
        <w:rPr>
          <w:rFonts w:cs="Times New Roman"/>
          <w:b/>
          <w:i/>
          <w:sz w:val="20"/>
          <w:szCs w:val="20"/>
        </w:rPr>
        <w:t>tenporal</w:t>
      </w:r>
      <w:proofErr w:type="spellEnd"/>
      <w:r w:rsidR="00EA114E" w:rsidRPr="00C82BA1">
        <w:rPr>
          <w:rFonts w:cs="Times New Roman"/>
          <w:b/>
          <w:i/>
          <w:sz w:val="20"/>
          <w:szCs w:val="20"/>
        </w:rPr>
        <w:t>“</w:t>
      </w:r>
      <w:r w:rsidR="00EA114E" w:rsidRPr="00C82BA1">
        <w:rPr>
          <w:rFonts w:cs="Times New Roman"/>
          <w:b/>
          <w:sz w:val="20"/>
          <w:szCs w:val="20"/>
        </w:rPr>
        <w:t xml:space="preserve"> Prinzip </w:t>
      </w:r>
      <w:r w:rsidRPr="00C82BA1">
        <w:rPr>
          <w:rFonts w:cs="Times New Roman"/>
          <w:b/>
          <w:sz w:val="20"/>
          <w:szCs w:val="20"/>
        </w:rPr>
        <w:t>nicht anwendet.</w:t>
      </w:r>
    </w:p>
    <w:p w:rsidR="00AE403F" w:rsidRPr="00C82BA1" w:rsidRDefault="00AE403F" w:rsidP="00AE403F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C82BA1" w:rsidRPr="00C82BA1" w:rsidRDefault="00C82BA1" w:rsidP="00C82BA1">
      <w:pPr>
        <w:rPr>
          <w:rFonts w:cs="Arial Narrow"/>
          <w:sz w:val="20"/>
          <w:szCs w:val="20"/>
        </w:rPr>
      </w:pPr>
      <w:r w:rsidRPr="00C82BA1">
        <w:rPr>
          <w:rFonts w:cs="Arial Narrow"/>
          <w:sz w:val="20"/>
          <w:szCs w:val="20"/>
        </w:rPr>
        <w:t>Ich wäre Ihnen dankbar, wenn Sie mich über alle Maßnahmen informieren, die Sie in dieser Angelegenheit ergreifen.</w:t>
      </w:r>
    </w:p>
    <w:p w:rsidR="00C82BA1" w:rsidRPr="00C82BA1" w:rsidRDefault="00C82BA1" w:rsidP="00C82BA1">
      <w:pPr>
        <w:rPr>
          <w:rFonts w:cs="Arial Narrow"/>
          <w:sz w:val="20"/>
          <w:szCs w:val="20"/>
        </w:rPr>
      </w:pPr>
    </w:p>
    <w:p w:rsidR="00C82BA1" w:rsidRPr="00C82BA1" w:rsidRDefault="00C82BA1" w:rsidP="00C82BA1">
      <w:pPr>
        <w:rPr>
          <w:rFonts w:cs="Arial Narrow"/>
          <w:sz w:val="20"/>
          <w:szCs w:val="20"/>
        </w:rPr>
      </w:pPr>
      <w:r w:rsidRPr="00C82BA1">
        <w:rPr>
          <w:rFonts w:cs="Arial Narrow"/>
          <w:sz w:val="20"/>
          <w:szCs w:val="20"/>
        </w:rPr>
        <w:t>Hochachtungsvoll</w:t>
      </w:r>
    </w:p>
    <w:p w:rsidR="005E44B5" w:rsidRPr="00C82BA1" w:rsidRDefault="005E44B5" w:rsidP="00AE403F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sectPr w:rsidR="005E44B5" w:rsidRPr="00C82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1CB"/>
    <w:multiLevelType w:val="hybridMultilevel"/>
    <w:tmpl w:val="67EC32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26"/>
    <w:rsid w:val="00121E26"/>
    <w:rsid w:val="00197770"/>
    <w:rsid w:val="00276F37"/>
    <w:rsid w:val="002E5592"/>
    <w:rsid w:val="00436739"/>
    <w:rsid w:val="00472A85"/>
    <w:rsid w:val="00597967"/>
    <w:rsid w:val="005E44B5"/>
    <w:rsid w:val="00652954"/>
    <w:rsid w:val="007F7805"/>
    <w:rsid w:val="00993F28"/>
    <w:rsid w:val="00A9542B"/>
    <w:rsid w:val="00AE403F"/>
    <w:rsid w:val="00B32C3E"/>
    <w:rsid w:val="00C66109"/>
    <w:rsid w:val="00C82BA1"/>
    <w:rsid w:val="00CF1B8A"/>
    <w:rsid w:val="00D41BD8"/>
    <w:rsid w:val="00D50CA7"/>
    <w:rsid w:val="00EA114E"/>
    <w:rsid w:val="00F1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Fian1</dc:creator>
  <cp:lastModifiedBy>Linnéa Richter</cp:lastModifiedBy>
  <cp:revision>2</cp:revision>
  <cp:lastPrinted>2016-02-09T13:35:00Z</cp:lastPrinted>
  <dcterms:created xsi:type="dcterms:W3CDTF">2016-02-10T08:41:00Z</dcterms:created>
  <dcterms:modified xsi:type="dcterms:W3CDTF">2016-02-10T08:41:00Z</dcterms:modified>
</cp:coreProperties>
</file>